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HEALTHCARE TEAM &amp; COMMUNICATION</w:t>
            </w:r>
          </w:p>
        </w:tc>
      </w:tr>
    </w:tbl>
    <w:p>
      <w:pPr>
        <w:pStyle w:val="Title"/>
      </w:pPr>
      <w:r>
        <w:rPr>
          <w:b/>
        </w:rPr>
        <w:t>Conflict Resolution Preparation Guide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Prepare to address workplace conflict with facts, curiosity, boundaries, and follow-up.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Clarify the desired outcome.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current strengths or conditions to preserve.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the most important gap or barrier.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Choose no more than three priority actions.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Assign ownership and timing.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Define what evidence will show progress.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48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