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136"/>
        <w:gridCol w:w="1800"/>
      </w:tblGrid>
      <w:tr>
        <w:tc>
          <w:tcPr>
            <w:tcW w:type="dxa" w:w="5112"/>
            <w:shd w:fill="0A1E3F"/>
          </w:tcPr>
          <w:p>
            <w:r>
              <w:rPr>
                <w:b/>
                <w:color w:val="FFFFFF"/>
                <w:sz w:val="22"/>
              </w:rPr>
              <w:t>NAHCP  |  GUIDES &amp; TOOLS</w:t>
            </w:r>
          </w:p>
        </w:tc>
        <w:tc>
          <w:tcPr>
            <w:tcW w:type="dxa" w:w="5112"/>
            <w:shd w:fill="D9A520"/>
          </w:tcPr>
          <w:p>
            <w:pPr>
              <w:jc w:val="center"/>
            </w:pPr>
            <w:r>
              <w:rPr>
                <w:b/>
                <w:color w:val="0A1E3F"/>
                <w:sz w:val="17"/>
              </w:rPr>
              <w:t>QUALITY, SAFETY &amp; PROCESS IMPROVEMENT</w:t>
            </w:r>
          </w:p>
        </w:tc>
      </w:tr>
    </w:tbl>
    <w:p>
      <w:pPr>
        <w:pStyle w:val="Title"/>
      </w:pPr>
      <w:r>
        <w:rPr>
          <w:b/>
        </w:rPr>
        <w:t>Survey Readiness Quick Check</w:t>
      </w:r>
    </w:p>
    <w:p>
      <w:pPr>
        <w:pBdr>
          <w:bottom w:val="single" w:sz="14" w:color="D9A520"/>
        </w:pBdr>
      </w:pPr>
      <w:r>
        <w:rPr>
          <w:i/>
          <w:color w:val="667085"/>
        </w:rPr>
        <w:t>Review everyday readiness across documentation, environment, staff awareness, and follow-through.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3F6FA"/>
          </w:tcPr>
          <w:p>
            <w:r>
              <w:t>HOW TO USE THIS RESOURCE</w:t>
              <w:br/>
              <w:t>Complete the sections that apply to your situation. Use specific evidence rather than assumptions, and adapt the tool to your organization’s requirements.</w:t>
            </w:r>
          </w:p>
        </w:tc>
      </w:tr>
    </w:tbl>
    <w:p>
      <w:pPr>
        <w:pStyle w:val="Heading1"/>
      </w:pPr>
      <w:r>
        <w:t>Quick Preparation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Purpose and expected outcome are clear.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Relevant facts, evidence, or examples have been gathered.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People affected by the decision or work have been considered.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Organizational policy, role scope, and escalation requirements have been reviewed where applicable.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A specific next action and follow-up point have been identified.</w:t>
      </w:r>
    </w:p>
    <w:p>
      <w:pPr>
        <w:pStyle w:val="Heading1"/>
      </w:pPr>
      <w:r>
        <w:t>Core Review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Required policies and procedures are current and accessible.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Staff can explain key responsibilities relevant to their roles.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Documentation practices are consistent with policy.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Environment-of-care concerns are identified and routed promptly.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Open corrective actions have owners and evidence of follow-up.</w:t>
      </w:r>
    </w:p>
    <w:p>
      <w:pPr>
        <w:spacing w:after="80"/>
      </w:pPr>
      <w:r>
        <w:rPr>
          <w:rFonts w:ascii="Arial" w:hAnsi="Arial"/>
          <w:color w:val="D9A520"/>
        </w:rPr>
        <w:t xml:space="preserve">☐  </w:t>
      </w:r>
      <w:r>
        <w:t>Leaders know how concerns are escalated and tracked.</w:t>
      </w:r>
    </w:p>
    <w:p>
      <w:pPr>
        <w:pStyle w:val="Heading1"/>
      </w:pPr>
      <w:r>
        <w:t>Notes &amp; Next Actions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spacing w:after="100"/>
      </w:pPr>
      <w:r>
        <w:t>________________________________________________________________________________</w:t>
      </w:r>
    </w:p>
    <w:p>
      <w:pPr>
        <w:pStyle w:val="Heading1"/>
      </w:pPr>
      <w:r>
        <w:t>Use With Judgment</w:t>
      </w:r>
    </w:p>
    <w:p>
      <w:r>
        <w:rPr>
          <w:color w:val="667085"/>
          <w:sz w:val="18"/>
        </w:rPr>
        <w:t>This resource supports professional development and workplace planning. It is not a substitute for organizational policy, legal advice, clinical judgment, regulatory requirements, or role-specific supervision.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085"/>
        <w:sz w:val="16"/>
      </w:rPr>
      <w:t>NAHCP Guides &amp; Tools  •  Free Resource 41  •  National Alliance for Healthcare Professionals</w:t>
    </w:r>
  </w:p>
  <w:p>
    <w:pPr>
      <w:jc w:val="center"/>
    </w:pPr>
    <w:r>
      <w:rPr>
        <w:color w:val="667085"/>
        <w:sz w:val="14"/>
      </w:rPr>
      <w:t>Educational resource. Adapt to your organization’s policies, procedures, legal requirements, and scope of responsibility.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4335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A1E3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A1E3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</w:rPr>
  </w:style>
  <w:style w:type="table" w:default="1" w:styleId="TableNormal">
    <w:name w:val="Normal Table"/>
    <w:uiPriority w:val="99"/>
    <w:semiHidden/>
    <w:unhideWhenUsed/>
    <w:rPr>
      <w:rFonts w:ascii="Arial" w:hAnsi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A1E3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