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INTERVIEW PREPARATION</w:t>
            </w:r>
          </w:p>
        </w:tc>
      </w:tr>
    </w:tbl>
    <w:p>
      <w:pPr>
        <w:pStyle w:val="Title"/>
      </w:pPr>
      <w:r>
        <w:rPr>
          <w:b/>
        </w:rPr>
        <w:t>New Graduate Interview Guide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Translate education, clinical experiences, projects, and transferable skills into strong interview evidence.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Quick Preparation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Purpose and expected outcome are clear.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Relevant facts, evidence, or examples have been gathered.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People affected by the decision or work have been considered.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Organizational policy, role scope, and escalation requirements have been reviewed where applicable.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A specific next action and follow-up point have been identified.</w:t>
      </w:r>
    </w:p>
    <w:p>
      <w:pPr>
        <w:pStyle w:val="Heading1"/>
      </w:pPr>
      <w:r>
        <w:t>Core Review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Review the job description and identify the capabilities emphasized most.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Prepare evidence for teamwork, communication, problem-solving, adaptability, and service.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Research the organization and role.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Prepare concise STAR examples.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Prepare thoughtful questions for the interviewer.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Confirm logistics, format, time zone, and materials.</w:t>
      </w:r>
    </w:p>
    <w:p>
      <w:pPr>
        <w:pStyle w:val="Heading1"/>
      </w:pPr>
      <w:r>
        <w:t>Notes &amp; Next Actions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12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